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537"/>
        <w:gridCol w:w="5386"/>
      </w:tblGrid>
      <w:tr w:rsidR="00D516D8" w:rsidRPr="00894B79" w:rsidTr="001300DB">
        <w:trPr>
          <w:cantSplit/>
        </w:trPr>
        <w:tc>
          <w:tcPr>
            <w:tcW w:w="4537" w:type="dxa"/>
          </w:tcPr>
          <w:p w:rsidR="00D516D8" w:rsidRPr="00894B79" w:rsidRDefault="00D516D8" w:rsidP="00A721D0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jc w:val="center"/>
              <w:textAlignment w:val="baseline"/>
              <w:rPr>
                <w:rFonts w:eastAsia="MS Mincho"/>
                <w:b/>
                <w:sz w:val="26"/>
                <w:lang w:eastAsia="ar-SA"/>
              </w:rPr>
            </w:pPr>
          </w:p>
          <w:p w:rsidR="00D516D8" w:rsidRPr="00894B79" w:rsidRDefault="00D516D8" w:rsidP="00A721D0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jc w:val="center"/>
              <w:textAlignment w:val="baseline"/>
              <w:rPr>
                <w:rFonts w:eastAsia="MS Mincho"/>
                <w:b/>
                <w:sz w:val="26"/>
                <w:lang w:eastAsia="ar-SA"/>
              </w:rPr>
            </w:pPr>
          </w:p>
          <w:p w:rsidR="00D516D8" w:rsidRPr="00894B79" w:rsidRDefault="00D516D8" w:rsidP="00A721D0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jc w:val="center"/>
              <w:textAlignment w:val="baseline"/>
              <w:rPr>
                <w:rFonts w:eastAsia="MS Mincho"/>
                <w:b/>
                <w:sz w:val="26"/>
                <w:lang w:eastAsia="ar-SA"/>
              </w:rPr>
            </w:pPr>
          </w:p>
        </w:tc>
        <w:tc>
          <w:tcPr>
            <w:tcW w:w="5386" w:type="dxa"/>
          </w:tcPr>
          <w:p w:rsidR="00D516D8" w:rsidRPr="00894B79" w:rsidRDefault="00D516D8" w:rsidP="00A721D0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textAlignment w:val="baseline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  <w:bookmarkStart w:id="0" w:name="_GoBack"/>
            <w:bookmarkEnd w:id="0"/>
            <w:r w:rsidRPr="00894B79">
              <w:rPr>
                <w:rFonts w:eastAsia="MS Mincho"/>
                <w:b/>
                <w:bCs/>
                <w:sz w:val="28"/>
                <w:szCs w:val="28"/>
                <w:lang w:eastAsia="ar-SA"/>
              </w:rPr>
              <w:t xml:space="preserve">                Принято на заседании Совета</w:t>
            </w:r>
          </w:p>
          <w:p w:rsidR="00D516D8" w:rsidRPr="00894B79" w:rsidRDefault="00D516D8" w:rsidP="00A721D0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textAlignment w:val="baseline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  <w:r w:rsidRPr="00894B79">
              <w:rPr>
                <w:rFonts w:eastAsia="MS Mincho"/>
                <w:b/>
                <w:bCs/>
                <w:sz w:val="28"/>
                <w:szCs w:val="28"/>
                <w:lang w:eastAsia="ar-SA"/>
              </w:rPr>
              <w:t xml:space="preserve">                11 июля 2024 г.</w:t>
            </w:r>
          </w:p>
          <w:p w:rsidR="00D516D8" w:rsidRPr="00894B79" w:rsidRDefault="00D516D8" w:rsidP="00A721D0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textAlignment w:val="baseline"/>
              <w:rPr>
                <w:rFonts w:eastAsia="MS Mincho"/>
                <w:b/>
                <w:bCs/>
                <w:spacing w:val="20"/>
                <w:sz w:val="28"/>
                <w:szCs w:val="28"/>
                <w:lang w:eastAsia="ar-SA"/>
              </w:rPr>
            </w:pPr>
            <w:r>
              <w:rPr>
                <w:rFonts w:eastAsia="MS Mincho"/>
                <w:b/>
                <w:bCs/>
                <w:spacing w:val="20"/>
                <w:sz w:val="28"/>
                <w:szCs w:val="28"/>
                <w:lang w:eastAsia="ar-SA"/>
              </w:rPr>
              <w:t xml:space="preserve">             № 244-5</w:t>
            </w:r>
            <w:r w:rsidRPr="00894B79">
              <w:rPr>
                <w:rFonts w:eastAsia="MS Mincho"/>
                <w:b/>
                <w:bCs/>
                <w:spacing w:val="20"/>
                <w:sz w:val="28"/>
                <w:szCs w:val="28"/>
                <w:lang w:eastAsia="ar-SA"/>
              </w:rPr>
              <w:t>/2024</w:t>
            </w:r>
          </w:p>
          <w:p w:rsidR="00D516D8" w:rsidRPr="00894B79" w:rsidRDefault="00D516D8" w:rsidP="00A721D0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textAlignment w:val="baseline"/>
              <w:rPr>
                <w:rFonts w:eastAsia="MS Mincho"/>
                <w:b/>
                <w:sz w:val="26"/>
                <w:lang w:eastAsia="ar-SA"/>
              </w:rPr>
            </w:pPr>
          </w:p>
        </w:tc>
      </w:tr>
    </w:tbl>
    <w:p w:rsidR="00D516D8" w:rsidRDefault="00D516D8" w:rsidP="00D516D8">
      <w:pPr>
        <w:widowControl w:val="0"/>
        <w:ind w:firstLine="567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D516D8" w:rsidRPr="00BE0C4E" w:rsidRDefault="00D516D8" w:rsidP="00D516D8">
      <w:pPr>
        <w:widowControl w:val="0"/>
        <w:ind w:left="284" w:firstLine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BE0C4E">
        <w:rPr>
          <w:b/>
          <w:color w:val="000000" w:themeColor="text1"/>
          <w:sz w:val="28"/>
          <w:szCs w:val="28"/>
        </w:rPr>
        <w:t>ЭКСПЕРТНОЕ ЗАКЛЮЧЕНИЕ</w:t>
      </w:r>
    </w:p>
    <w:p w:rsidR="00D516D8" w:rsidRPr="00BE0C4E" w:rsidRDefault="00D516D8" w:rsidP="00D516D8">
      <w:pPr>
        <w:widowControl w:val="0"/>
        <w:ind w:left="284" w:firstLine="567"/>
        <w:jc w:val="center"/>
        <w:rPr>
          <w:b/>
          <w:color w:val="000000" w:themeColor="text1"/>
          <w:sz w:val="28"/>
          <w:szCs w:val="28"/>
        </w:rPr>
      </w:pPr>
      <w:r w:rsidRPr="00BE0C4E">
        <w:rPr>
          <w:b/>
          <w:color w:val="000000" w:themeColor="text1"/>
          <w:sz w:val="28"/>
          <w:szCs w:val="28"/>
        </w:rPr>
        <w:t>законодательства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BE0C4E">
        <w:rPr>
          <w:b/>
          <w:color w:val="000000" w:themeColor="text1"/>
          <w:sz w:val="28"/>
          <w:szCs w:val="28"/>
        </w:rPr>
        <w:t xml:space="preserve">по проекту </w:t>
      </w:r>
      <w:r>
        <w:rPr>
          <w:b/>
          <w:color w:val="000000" w:themeColor="text1"/>
          <w:sz w:val="28"/>
          <w:szCs w:val="28"/>
        </w:rPr>
        <w:t>федерального закона</w:t>
      </w:r>
      <w:r w:rsidRPr="00BE0C4E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«О внесении изменения в статью 27</w:t>
      </w:r>
      <w:r w:rsidRPr="00BE0C4E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Гражданского кодекса Российской Федерации»</w:t>
      </w:r>
    </w:p>
    <w:p w:rsidR="00B1373C" w:rsidRPr="00D824D0" w:rsidRDefault="00B1373C" w:rsidP="00EE4728">
      <w:pPr>
        <w:widowControl w:val="0"/>
        <w:ind w:firstLine="567"/>
        <w:rPr>
          <w:b/>
          <w:color w:val="000000" w:themeColor="text1"/>
        </w:rPr>
      </w:pPr>
    </w:p>
    <w:p w:rsidR="00B1373C" w:rsidRPr="00866AC0" w:rsidRDefault="00B1373C" w:rsidP="004375E6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66AC0">
        <w:rPr>
          <w:color w:val="000000" w:themeColor="text1"/>
          <w:sz w:val="28"/>
          <w:szCs w:val="28"/>
        </w:rPr>
        <w:t xml:space="preserve">Проект федерального закона </w:t>
      </w:r>
      <w:r w:rsidRPr="00B1373C">
        <w:rPr>
          <w:color w:val="000000" w:themeColor="text1"/>
          <w:sz w:val="28"/>
          <w:szCs w:val="28"/>
        </w:rPr>
        <w:t>«О внесении изменения в статью 27 Гражданского кодекса Российской Федерации»</w:t>
      </w:r>
      <w:r w:rsidRPr="00866AC0">
        <w:rPr>
          <w:color w:val="000000" w:themeColor="text1"/>
          <w:sz w:val="28"/>
          <w:szCs w:val="28"/>
        </w:rPr>
        <w:t xml:space="preserve"> (далее – Проект) </w:t>
      </w:r>
      <w:r w:rsidR="003134DC" w:rsidRPr="00B1373C">
        <w:rPr>
          <w:color w:val="000000" w:themeColor="text1"/>
          <w:sz w:val="28"/>
          <w:szCs w:val="28"/>
        </w:rPr>
        <w:t>подготовлен членами Молодежного парламента при Государственной Думе</w:t>
      </w:r>
      <w:r w:rsidR="003134DC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направлен на экспертизу в</w:t>
      </w:r>
      <w:r>
        <w:rPr>
          <w:sz w:val="28"/>
          <w:szCs w:val="28"/>
        </w:rPr>
        <w:t xml:space="preserve"> Совет</w:t>
      </w:r>
      <w:r w:rsidRPr="00C84DAB">
        <w:rPr>
          <w:sz w:val="28"/>
          <w:szCs w:val="28"/>
        </w:rPr>
        <w:t xml:space="preserve"> при Президенте Российской Федерации по кодификации и совершенствованию гражданского законодательства</w:t>
      </w:r>
      <w:r>
        <w:rPr>
          <w:sz w:val="28"/>
          <w:szCs w:val="28"/>
        </w:rPr>
        <w:t xml:space="preserve"> Комитетом Государственной Думы по молодежной политике (письмо от 2 июля 2024 г. № М3.32-4434)</w:t>
      </w:r>
      <w:r w:rsidRPr="004357F7">
        <w:rPr>
          <w:sz w:val="28"/>
          <w:szCs w:val="28"/>
        </w:rPr>
        <w:t>.</w:t>
      </w:r>
    </w:p>
    <w:p w:rsidR="00C047AC" w:rsidRDefault="00C047AC" w:rsidP="004375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 предполагает изложение статьи 27 Гражданского кодекса Российской Федерации (далее – ГК РФ) в новой редакции, предусматриваю</w:t>
      </w:r>
      <w:r w:rsidR="00780F7D">
        <w:rPr>
          <w:color w:val="000000" w:themeColor="text1"/>
          <w:sz w:val="28"/>
          <w:szCs w:val="28"/>
        </w:rPr>
        <w:t>щей введение нового основания</w:t>
      </w:r>
      <w:r w:rsidR="00D23AC2">
        <w:rPr>
          <w:color w:val="000000" w:themeColor="text1"/>
          <w:sz w:val="28"/>
          <w:szCs w:val="28"/>
        </w:rPr>
        <w:t xml:space="preserve"> </w:t>
      </w:r>
      <w:r w:rsidR="003134DC">
        <w:rPr>
          <w:color w:val="000000" w:themeColor="text1"/>
          <w:sz w:val="28"/>
          <w:szCs w:val="28"/>
        </w:rPr>
        <w:t xml:space="preserve">для </w:t>
      </w:r>
      <w:r w:rsidR="00D23AC2">
        <w:rPr>
          <w:color w:val="000000" w:themeColor="text1"/>
          <w:sz w:val="28"/>
          <w:szCs w:val="28"/>
        </w:rPr>
        <w:t>эмансипации несовершеннолетнего</w:t>
      </w:r>
      <w:r w:rsidR="003134DC">
        <w:rPr>
          <w:color w:val="000000" w:themeColor="text1"/>
          <w:sz w:val="28"/>
          <w:szCs w:val="28"/>
        </w:rPr>
        <w:t xml:space="preserve"> –</w:t>
      </w:r>
      <w:r w:rsidR="00D23AC2">
        <w:rPr>
          <w:color w:val="000000" w:themeColor="text1"/>
          <w:sz w:val="28"/>
          <w:szCs w:val="28"/>
        </w:rPr>
        <w:t xml:space="preserve"> обучение «</w:t>
      </w:r>
      <w:r w:rsidR="00C562F7" w:rsidRPr="00C562F7">
        <w:rPr>
          <w:sz w:val="28"/>
          <w:szCs w:val="28"/>
        </w:rPr>
        <w:t>по имеющей государственную аккредитацию образовательной программе среднего профессионального образования и (или) высшего образования по очной форме обучения в образовательной организации, находящейся за пределами населённого пункта, в котором проживают его законные представители».</w:t>
      </w:r>
      <w:r w:rsidR="00C562F7">
        <w:rPr>
          <w:sz w:val="28"/>
          <w:szCs w:val="28"/>
        </w:rPr>
        <w:t xml:space="preserve"> </w:t>
      </w:r>
    </w:p>
    <w:p w:rsidR="00D23AC2" w:rsidRPr="00D23AC2" w:rsidRDefault="003134DC" w:rsidP="004375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3AC2" w:rsidRPr="00D23AC2">
        <w:rPr>
          <w:sz w:val="28"/>
          <w:szCs w:val="28"/>
        </w:rPr>
        <w:t xml:space="preserve"> пояснительной записк</w:t>
      </w:r>
      <w:r>
        <w:rPr>
          <w:sz w:val="28"/>
          <w:szCs w:val="28"/>
        </w:rPr>
        <w:t>е</w:t>
      </w:r>
      <w:r w:rsidR="00D23AC2" w:rsidRPr="00D23AC2">
        <w:rPr>
          <w:sz w:val="28"/>
          <w:szCs w:val="28"/>
        </w:rPr>
        <w:t xml:space="preserve"> разработчики Проекта обосновывают введение дополнительного основания эмансипации стремлением защитить права несовершеннолетних в возрасте от шестнадцати до восемнадцати лет, поскольку у такого «молодого человека», </w:t>
      </w:r>
      <w:r w:rsidR="0069095E">
        <w:rPr>
          <w:sz w:val="28"/>
          <w:szCs w:val="28"/>
        </w:rPr>
        <w:t>обучающегося за пределами населе</w:t>
      </w:r>
      <w:r w:rsidR="00D23AC2" w:rsidRPr="00D23AC2">
        <w:rPr>
          <w:sz w:val="28"/>
          <w:szCs w:val="28"/>
        </w:rPr>
        <w:t>нного пункта, в котором проживают его законные представители, «есть потребность в заключении ряда сделок, выходящих за рамки прав, установленных пунктом 2 статьи 26 ГК РФ. При этом у обучающегося в связи с проживанием в другом населённом пункте в значительной степени ограничена возможность получения письменного согласия от своего законного представителя в соответствии с порядком, установленным абзацем первым пункта 1 статьи 26 ГК РФ».</w:t>
      </w:r>
    </w:p>
    <w:p w:rsidR="00C562F7" w:rsidRPr="00C562F7" w:rsidRDefault="00C562F7" w:rsidP="004375E6">
      <w:pPr>
        <w:spacing w:line="360" w:lineRule="auto"/>
        <w:ind w:firstLine="567"/>
        <w:jc w:val="both"/>
        <w:rPr>
          <w:color w:val="000000" w:themeColor="text1"/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Проект не может быть поддержан по следующим основаниям.</w:t>
      </w:r>
    </w:p>
    <w:p w:rsidR="007E0EB4" w:rsidRDefault="009F3BDF" w:rsidP="004F22E9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1B0151">
        <w:rPr>
          <w:color w:val="000000" w:themeColor="text1"/>
          <w:sz w:val="28"/>
          <w:szCs w:val="28"/>
        </w:rPr>
        <w:t xml:space="preserve">1. </w:t>
      </w:r>
      <w:r w:rsidR="004F22E9">
        <w:rPr>
          <w:color w:val="000000" w:themeColor="text1"/>
          <w:sz w:val="28"/>
          <w:szCs w:val="28"/>
        </w:rPr>
        <w:t>Как известно, градация видов гражданской дееспособности несовершеннолетних строится на предположении о той или иной степени их психической и социальной зрелости. Степень такой зрелости каждой категории лиц соотносится с возможностью понимать значение своих действий и руководить ими, что дает законодателю возможность установить специальные правила для совершения юридически значимых действий несовершеннолетними или их законными представителями</w:t>
      </w:r>
      <w:r w:rsidR="007E0EB4">
        <w:rPr>
          <w:color w:val="000000" w:themeColor="text1"/>
          <w:sz w:val="28"/>
          <w:szCs w:val="28"/>
        </w:rPr>
        <w:t>, а также определить, будут ли отвечать за его действия его представители и в каких пределах</w:t>
      </w:r>
      <w:r w:rsidR="004F22E9">
        <w:rPr>
          <w:color w:val="000000" w:themeColor="text1"/>
          <w:sz w:val="28"/>
          <w:szCs w:val="28"/>
        </w:rPr>
        <w:t xml:space="preserve">. </w:t>
      </w:r>
    </w:p>
    <w:p w:rsidR="004F22E9" w:rsidRDefault="004F22E9" w:rsidP="004F22E9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Система законодательных установлений, основанных на таком подходе, позволяет установить сбалансированное регулирование отношений с участием несовершеннолетнего, в котором его воля, если она может быть сформирована и выражена, сочетается с волей его законных представителей, а в необходимых случаях – также с волей публично-правового образования (в лице органов опеки и попечительства).</w:t>
      </w:r>
      <w:r w:rsidR="007E0EB4">
        <w:rPr>
          <w:color w:val="000000" w:themeColor="text1"/>
          <w:sz w:val="28"/>
          <w:szCs w:val="28"/>
        </w:rPr>
        <w:t xml:space="preserve"> Та или иная модель формирования воли при совершении действий от имени несовершеннолетн</w:t>
      </w:r>
      <w:r w:rsidR="00820F79">
        <w:rPr>
          <w:color w:val="000000" w:themeColor="text1"/>
          <w:sz w:val="28"/>
          <w:szCs w:val="28"/>
        </w:rPr>
        <w:t>их</w:t>
      </w:r>
      <w:r w:rsidR="007E0EB4">
        <w:rPr>
          <w:color w:val="000000" w:themeColor="text1"/>
          <w:sz w:val="28"/>
          <w:szCs w:val="28"/>
        </w:rPr>
        <w:t xml:space="preserve"> сопровождается также системой правил об ответственности по договорным и внедоговорным обязательствам, и эти правила </w:t>
      </w:r>
      <w:r w:rsidR="00820F79">
        <w:rPr>
          <w:color w:val="000000" w:themeColor="text1"/>
          <w:sz w:val="28"/>
          <w:szCs w:val="28"/>
        </w:rPr>
        <w:t xml:space="preserve">тоже </w:t>
      </w:r>
      <w:r w:rsidR="007E0EB4">
        <w:rPr>
          <w:color w:val="000000" w:themeColor="text1"/>
          <w:sz w:val="28"/>
          <w:szCs w:val="28"/>
        </w:rPr>
        <w:t>предопределены в первую очередь степен</w:t>
      </w:r>
      <w:r w:rsidR="00820F79">
        <w:rPr>
          <w:color w:val="000000" w:themeColor="text1"/>
          <w:sz w:val="28"/>
          <w:szCs w:val="28"/>
        </w:rPr>
        <w:t>ью</w:t>
      </w:r>
      <w:r w:rsidR="007E0EB4">
        <w:rPr>
          <w:color w:val="000000" w:themeColor="text1"/>
          <w:sz w:val="28"/>
          <w:szCs w:val="28"/>
        </w:rPr>
        <w:t xml:space="preserve"> психической и социальной зрелости </w:t>
      </w:r>
      <w:r w:rsidR="00820F79">
        <w:rPr>
          <w:color w:val="000000" w:themeColor="text1"/>
          <w:sz w:val="28"/>
          <w:szCs w:val="28"/>
        </w:rPr>
        <w:t>несовершеннолетних</w:t>
      </w:r>
      <w:r w:rsidR="007E0EB4">
        <w:rPr>
          <w:color w:val="000000" w:themeColor="text1"/>
          <w:sz w:val="28"/>
          <w:szCs w:val="28"/>
        </w:rPr>
        <w:t>.</w:t>
      </w:r>
    </w:p>
    <w:p w:rsidR="007E0011" w:rsidRDefault="00D516D8" w:rsidP="004F22E9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видно из Проекта, его р</w:t>
      </w:r>
      <w:r w:rsidR="004F22E9">
        <w:rPr>
          <w:color w:val="000000" w:themeColor="text1"/>
          <w:sz w:val="28"/>
          <w:szCs w:val="28"/>
        </w:rPr>
        <w:t xml:space="preserve">азработчики отталкиваются не от этих общеизвестных предпосылок, а по существу от нужд опекуна или иного законного представителя, который испытывает затруднения в организации своего присутствия по месту проживания несовершеннолетнего или в организации иной защиты интересов ребенка при невозможности присутствия рядом с ним его законного представителя. Степень психической и социальной зрелости </w:t>
      </w:r>
      <w:r w:rsidR="007E0EB4">
        <w:rPr>
          <w:color w:val="000000" w:themeColor="text1"/>
          <w:sz w:val="28"/>
          <w:szCs w:val="28"/>
        </w:rPr>
        <w:t>несовершеннолетнего</w:t>
      </w:r>
      <w:r w:rsidR="004F22E9">
        <w:rPr>
          <w:color w:val="000000" w:themeColor="text1"/>
          <w:sz w:val="28"/>
          <w:szCs w:val="28"/>
        </w:rPr>
        <w:t xml:space="preserve"> при этом не учитывается.</w:t>
      </w:r>
      <w:r w:rsidR="007E0011">
        <w:rPr>
          <w:color w:val="000000" w:themeColor="text1"/>
          <w:sz w:val="28"/>
          <w:szCs w:val="28"/>
        </w:rPr>
        <w:t xml:space="preserve"> </w:t>
      </w:r>
      <w:r w:rsidR="00820F79">
        <w:rPr>
          <w:color w:val="000000" w:themeColor="text1"/>
          <w:sz w:val="28"/>
          <w:szCs w:val="28"/>
        </w:rPr>
        <w:t xml:space="preserve">Напротив, во главу угла становится желание законного представителя избавиться от обязанностей по защите несовершеннолетнего, </w:t>
      </w:r>
      <w:r w:rsidR="005A3391">
        <w:rPr>
          <w:color w:val="000000" w:themeColor="text1"/>
          <w:sz w:val="28"/>
          <w:szCs w:val="28"/>
        </w:rPr>
        <w:t xml:space="preserve">от </w:t>
      </w:r>
      <w:r w:rsidR="00820F79">
        <w:rPr>
          <w:color w:val="000000" w:themeColor="text1"/>
          <w:sz w:val="28"/>
          <w:szCs w:val="28"/>
        </w:rPr>
        <w:t>алиментных обязанностей и риска имущественной ответственности за действия ребенка.</w:t>
      </w:r>
    </w:p>
    <w:p w:rsidR="004F22E9" w:rsidRDefault="007E0011" w:rsidP="004F22E9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3E2196">
        <w:rPr>
          <w:sz w:val="28"/>
          <w:szCs w:val="28"/>
        </w:rPr>
        <w:t xml:space="preserve"> пояснительной записке указан</w:t>
      </w:r>
      <w:r>
        <w:rPr>
          <w:sz w:val="28"/>
          <w:szCs w:val="28"/>
        </w:rPr>
        <w:t>о на сложности, которые испытывает</w:t>
      </w:r>
      <w:r w:rsidRPr="003E2196">
        <w:rPr>
          <w:sz w:val="28"/>
          <w:szCs w:val="28"/>
        </w:rPr>
        <w:t xml:space="preserve"> несовершеннолетни</w:t>
      </w:r>
      <w:r>
        <w:rPr>
          <w:sz w:val="28"/>
          <w:szCs w:val="28"/>
        </w:rPr>
        <w:t>й при заключении</w:t>
      </w:r>
      <w:r w:rsidRPr="003E219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E2196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Pr="003E2196">
        <w:rPr>
          <w:sz w:val="28"/>
          <w:szCs w:val="28"/>
        </w:rPr>
        <w:t xml:space="preserve"> найма студенческого общежития</w:t>
      </w:r>
      <w:r>
        <w:rPr>
          <w:sz w:val="28"/>
          <w:szCs w:val="28"/>
        </w:rPr>
        <w:t xml:space="preserve">» (видимо, разработчики Проекта имели в виду </w:t>
      </w:r>
      <w:r w:rsidRPr="004621BF">
        <w:rPr>
          <w:rFonts w:eastAsiaTheme="minorHAnsi"/>
          <w:sz w:val="28"/>
          <w:szCs w:val="28"/>
          <w:lang w:eastAsia="en-US"/>
        </w:rPr>
        <w:t>договор найма жилого помещения в общежитии</w:t>
      </w:r>
      <w:r>
        <w:rPr>
          <w:sz w:val="28"/>
          <w:szCs w:val="28"/>
        </w:rPr>
        <w:t>)</w:t>
      </w:r>
      <w:r w:rsidRPr="004621BF">
        <w:rPr>
          <w:sz w:val="28"/>
          <w:szCs w:val="28"/>
        </w:rPr>
        <w:t>.</w:t>
      </w:r>
      <w:r w:rsidRPr="003E2196">
        <w:rPr>
          <w:sz w:val="28"/>
          <w:szCs w:val="28"/>
        </w:rPr>
        <w:t xml:space="preserve"> </w:t>
      </w:r>
      <w:r>
        <w:rPr>
          <w:sz w:val="28"/>
          <w:szCs w:val="28"/>
        </w:rPr>
        <w:t>Во-первых, согласие законного представителя на заключение этой сделки может быть представлено в виде отдельного документ</w:t>
      </w:r>
      <w:r w:rsidR="00820F79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="00820F79">
        <w:rPr>
          <w:sz w:val="28"/>
          <w:szCs w:val="28"/>
        </w:rPr>
        <w:t xml:space="preserve"> в том числе электронного (абзац второй пункта 1 статьи 160 ГК РФ)</w:t>
      </w:r>
      <w:r>
        <w:rPr>
          <w:sz w:val="28"/>
          <w:szCs w:val="28"/>
        </w:rPr>
        <w:t xml:space="preserve">. Во-вторых, такого рода организационные </w:t>
      </w:r>
      <w:r w:rsidRPr="003E2196">
        <w:rPr>
          <w:sz w:val="28"/>
          <w:szCs w:val="28"/>
        </w:rPr>
        <w:t xml:space="preserve">затруднения не </w:t>
      </w:r>
      <w:r>
        <w:rPr>
          <w:sz w:val="28"/>
          <w:szCs w:val="28"/>
        </w:rPr>
        <w:t>могут служить</w:t>
      </w:r>
      <w:r w:rsidRPr="003E2196">
        <w:rPr>
          <w:sz w:val="28"/>
          <w:szCs w:val="28"/>
        </w:rPr>
        <w:t xml:space="preserve"> достаточным обоснованием для предоставления несовершеннолетнему неограниченной свободы участия в гражданском обороте</w:t>
      </w:r>
      <w:r>
        <w:rPr>
          <w:sz w:val="28"/>
          <w:szCs w:val="28"/>
        </w:rPr>
        <w:t xml:space="preserve"> и возложения на него полной имущественной ответственности</w:t>
      </w:r>
      <w:r w:rsidRPr="003E2196">
        <w:rPr>
          <w:sz w:val="28"/>
          <w:szCs w:val="28"/>
        </w:rPr>
        <w:t>.</w:t>
      </w:r>
    </w:p>
    <w:p w:rsidR="004E3E03" w:rsidRDefault="007E0EB4" w:rsidP="000B785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Ребенок, который </w:t>
      </w:r>
      <w:r w:rsidR="004E3E03">
        <w:rPr>
          <w:sz w:val="28"/>
          <w:szCs w:val="28"/>
        </w:rPr>
        <w:t xml:space="preserve">в 16-17 лет продолжает </w:t>
      </w:r>
      <w:r>
        <w:rPr>
          <w:sz w:val="28"/>
          <w:szCs w:val="28"/>
        </w:rPr>
        <w:t>обуч</w:t>
      </w:r>
      <w:r w:rsidR="004E3E03">
        <w:rPr>
          <w:sz w:val="28"/>
          <w:szCs w:val="28"/>
        </w:rPr>
        <w:t>ение</w:t>
      </w:r>
      <w:r>
        <w:rPr>
          <w:sz w:val="28"/>
          <w:szCs w:val="28"/>
        </w:rPr>
        <w:t>, отличается от несовершеннолетнего, который уже трудится или занялся предпринимательской деятельностью, то есть приобрел новый социальный опыт</w:t>
      </w:r>
      <w:r w:rsidR="004E3E03">
        <w:rPr>
          <w:sz w:val="28"/>
          <w:szCs w:val="28"/>
        </w:rPr>
        <w:t>, а потому может быть признан полностью дееспособным, может нести имущественную ответственность за свои действия</w:t>
      </w:r>
      <w:r>
        <w:rPr>
          <w:sz w:val="28"/>
          <w:szCs w:val="28"/>
        </w:rPr>
        <w:t xml:space="preserve">. </w:t>
      </w:r>
      <w:r w:rsidR="004E3E03">
        <w:rPr>
          <w:sz w:val="28"/>
          <w:szCs w:val="28"/>
        </w:rPr>
        <w:t xml:space="preserve">С этой точки зрения </w:t>
      </w:r>
      <w:r>
        <w:rPr>
          <w:sz w:val="28"/>
          <w:szCs w:val="28"/>
        </w:rPr>
        <w:t>неважно, где обучается несовершенн</w:t>
      </w:r>
      <w:r w:rsidR="004E3E03">
        <w:rPr>
          <w:sz w:val="28"/>
          <w:szCs w:val="28"/>
        </w:rPr>
        <w:t>олетний – в средней школе или в профессиональном училище, техникуме, вузе</w:t>
      </w:r>
      <w:r w:rsidR="005A3391">
        <w:rPr>
          <w:sz w:val="28"/>
          <w:szCs w:val="28"/>
        </w:rPr>
        <w:t xml:space="preserve"> – </w:t>
      </w:r>
      <w:r w:rsidR="00820F79">
        <w:rPr>
          <w:sz w:val="28"/>
          <w:szCs w:val="28"/>
        </w:rPr>
        <w:t>он по-прежнему нуждается в защите и представительстве.</w:t>
      </w:r>
    </w:p>
    <w:p w:rsidR="000B7850" w:rsidRPr="00596E14" w:rsidRDefault="004E3E03" w:rsidP="000B7850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Следует </w:t>
      </w:r>
      <w:r w:rsidR="00131B12">
        <w:rPr>
          <w:sz w:val="28"/>
          <w:szCs w:val="28"/>
        </w:rPr>
        <w:t>еще раз подчеркнуть</w:t>
      </w:r>
      <w:r>
        <w:rPr>
          <w:sz w:val="28"/>
          <w:szCs w:val="28"/>
        </w:rPr>
        <w:t>, что эмансипация влечет за собой самостоятельную гражданско-правовую ответственность несовершеннолетнего по договорным и внедоговорным обязательствам,</w:t>
      </w:r>
      <w:r w:rsidR="00D516D8">
        <w:rPr>
          <w:sz w:val="28"/>
          <w:szCs w:val="28"/>
        </w:rPr>
        <w:t xml:space="preserve"> которая также предполагает возможность обращения взыскания на имущество несовершеннолетнего и применение к нему процедур банкротства. При этом лица, которые ранее были</w:t>
      </w:r>
      <w:r>
        <w:rPr>
          <w:sz w:val="28"/>
          <w:szCs w:val="28"/>
        </w:rPr>
        <w:t xml:space="preserve"> его </w:t>
      </w:r>
      <w:r w:rsidR="00D516D8">
        <w:rPr>
          <w:sz w:val="28"/>
          <w:szCs w:val="28"/>
        </w:rPr>
        <w:t xml:space="preserve">законными </w:t>
      </w:r>
      <w:r>
        <w:rPr>
          <w:sz w:val="28"/>
          <w:szCs w:val="28"/>
        </w:rPr>
        <w:t>представител</w:t>
      </w:r>
      <w:r w:rsidR="00D516D8">
        <w:rPr>
          <w:sz w:val="28"/>
          <w:szCs w:val="28"/>
        </w:rPr>
        <w:t>ями,</w:t>
      </w:r>
      <w:r>
        <w:rPr>
          <w:sz w:val="28"/>
          <w:szCs w:val="28"/>
        </w:rPr>
        <w:t xml:space="preserve"> перестают </w:t>
      </w:r>
      <w:proofErr w:type="spellStart"/>
      <w:r>
        <w:rPr>
          <w:sz w:val="28"/>
          <w:szCs w:val="28"/>
        </w:rPr>
        <w:t>субсидиарно</w:t>
      </w:r>
      <w:proofErr w:type="spellEnd"/>
      <w:r>
        <w:rPr>
          <w:sz w:val="28"/>
          <w:szCs w:val="28"/>
        </w:rPr>
        <w:t xml:space="preserve"> отвечать за причиненный им вред. Трудно объяснить, чем может быть обосновано освобождение законных представителей от ответственности за вред, причиненный несовершеннолетним, обучающимся в среднем профессиональном или высшем учебном заведении.</w:t>
      </w:r>
      <w:r w:rsidR="00131B12">
        <w:rPr>
          <w:sz w:val="28"/>
          <w:szCs w:val="28"/>
        </w:rPr>
        <w:t xml:space="preserve"> Такое решение снизит защищенность интересов кредиторов по </w:t>
      </w:r>
      <w:proofErr w:type="spellStart"/>
      <w:r w:rsidR="00131B12">
        <w:rPr>
          <w:sz w:val="28"/>
          <w:szCs w:val="28"/>
        </w:rPr>
        <w:t>деликтным</w:t>
      </w:r>
      <w:proofErr w:type="spellEnd"/>
      <w:r w:rsidR="00131B12">
        <w:rPr>
          <w:sz w:val="28"/>
          <w:szCs w:val="28"/>
        </w:rPr>
        <w:t xml:space="preserve"> обязательствам.</w:t>
      </w:r>
    </w:p>
    <w:p w:rsidR="004F22E9" w:rsidRDefault="004E3E03" w:rsidP="004F22E9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изложенным причинам </w:t>
      </w:r>
      <w:r w:rsidR="004F22E9">
        <w:rPr>
          <w:color w:val="000000" w:themeColor="text1"/>
          <w:sz w:val="28"/>
          <w:szCs w:val="28"/>
        </w:rPr>
        <w:t>подход</w:t>
      </w:r>
      <w:r>
        <w:rPr>
          <w:color w:val="000000" w:themeColor="text1"/>
          <w:sz w:val="28"/>
          <w:szCs w:val="28"/>
        </w:rPr>
        <w:t>, предложенный в Проекте,</w:t>
      </w:r>
      <w:r w:rsidR="004F22E9">
        <w:rPr>
          <w:color w:val="000000" w:themeColor="text1"/>
          <w:sz w:val="28"/>
          <w:szCs w:val="28"/>
        </w:rPr>
        <w:t xml:space="preserve"> концептуально неприемлем.</w:t>
      </w:r>
    </w:p>
    <w:p w:rsidR="004F22E9" w:rsidRDefault="004F22E9" w:rsidP="004375E6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 Текст </w:t>
      </w:r>
      <w:r w:rsidR="000B7850">
        <w:rPr>
          <w:color w:val="000000" w:themeColor="text1"/>
          <w:sz w:val="28"/>
          <w:szCs w:val="28"/>
        </w:rPr>
        <w:t>Проекта страдает также целым рядом иных недостатков.</w:t>
      </w:r>
      <w:r w:rsidR="000B7850" w:rsidDel="000B7850">
        <w:rPr>
          <w:color w:val="000000" w:themeColor="text1"/>
          <w:sz w:val="28"/>
          <w:szCs w:val="28"/>
        </w:rPr>
        <w:t xml:space="preserve"> </w:t>
      </w:r>
    </w:p>
    <w:p w:rsidR="008F7F08" w:rsidRDefault="003134DC" w:rsidP="004375E6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Неясно</w:t>
      </w:r>
      <w:r w:rsidR="008F7F08">
        <w:rPr>
          <w:color w:val="000000" w:themeColor="text1"/>
          <w:sz w:val="28"/>
          <w:szCs w:val="28"/>
        </w:rPr>
        <w:t>, почему несовершеннолетний, обучающийся по очно-заочн</w:t>
      </w:r>
      <w:r w:rsidR="00780F7D">
        <w:rPr>
          <w:color w:val="000000" w:themeColor="text1"/>
          <w:sz w:val="28"/>
          <w:szCs w:val="28"/>
        </w:rPr>
        <w:t>ой или заочной форме обучения</w:t>
      </w:r>
      <w:r>
        <w:rPr>
          <w:color w:val="000000" w:themeColor="text1"/>
          <w:sz w:val="28"/>
          <w:szCs w:val="28"/>
        </w:rPr>
        <w:t>,</w:t>
      </w:r>
      <w:r w:rsidR="00780F7D">
        <w:rPr>
          <w:color w:val="000000" w:themeColor="text1"/>
          <w:sz w:val="28"/>
          <w:szCs w:val="28"/>
        </w:rPr>
        <w:t xml:space="preserve"> </w:t>
      </w:r>
      <w:r w:rsidR="008F7F08">
        <w:rPr>
          <w:color w:val="000000" w:themeColor="text1"/>
          <w:sz w:val="28"/>
          <w:szCs w:val="28"/>
        </w:rPr>
        <w:t>не может быть наделен правом</w:t>
      </w:r>
      <w:r w:rsidR="00780F7D">
        <w:rPr>
          <w:color w:val="000000" w:themeColor="text1"/>
          <w:sz w:val="28"/>
          <w:szCs w:val="28"/>
        </w:rPr>
        <w:t xml:space="preserve"> на эмансипацию</w:t>
      </w:r>
      <w:r w:rsidR="008F7F0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0B7850">
        <w:rPr>
          <w:color w:val="000000" w:themeColor="text1"/>
          <w:sz w:val="28"/>
          <w:szCs w:val="28"/>
        </w:rPr>
        <w:t>Это нарушило бы принцип равенства всех участников гражданско-правовых отношений.</w:t>
      </w:r>
    </w:p>
    <w:p w:rsidR="00CC15A8" w:rsidRDefault="000B7850" w:rsidP="004375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учтены </w:t>
      </w:r>
      <w:r w:rsidR="00CC15A8">
        <w:rPr>
          <w:sz w:val="28"/>
          <w:szCs w:val="28"/>
        </w:rPr>
        <w:t xml:space="preserve">ситуации, </w:t>
      </w:r>
      <w:r>
        <w:rPr>
          <w:sz w:val="28"/>
          <w:szCs w:val="28"/>
        </w:rPr>
        <w:t>когда</w:t>
      </w:r>
      <w:r w:rsidR="00CC15A8">
        <w:rPr>
          <w:sz w:val="28"/>
          <w:szCs w:val="28"/>
        </w:rPr>
        <w:t xml:space="preserve"> законные представители</w:t>
      </w:r>
      <w:r>
        <w:rPr>
          <w:sz w:val="28"/>
          <w:szCs w:val="28"/>
        </w:rPr>
        <w:t xml:space="preserve"> несовершеннолетнего</w:t>
      </w:r>
      <w:r w:rsidR="00CC15A8">
        <w:rPr>
          <w:sz w:val="28"/>
          <w:szCs w:val="28"/>
        </w:rPr>
        <w:t xml:space="preserve"> проживают в разных населенных пунктах.</w:t>
      </w:r>
      <w:r>
        <w:rPr>
          <w:sz w:val="28"/>
          <w:szCs w:val="28"/>
        </w:rPr>
        <w:t xml:space="preserve"> </w:t>
      </w:r>
      <w:r w:rsidR="0069095E">
        <w:rPr>
          <w:sz w:val="28"/>
          <w:szCs w:val="28"/>
        </w:rPr>
        <w:t xml:space="preserve">Кроме </w:t>
      </w:r>
      <w:r w:rsidR="005A3391">
        <w:rPr>
          <w:sz w:val="28"/>
          <w:szCs w:val="28"/>
        </w:rPr>
        <w:t>того, о</w:t>
      </w:r>
      <w:r>
        <w:rPr>
          <w:sz w:val="28"/>
          <w:szCs w:val="28"/>
        </w:rPr>
        <w:t>дин из них может проживать в том же населенном пункте, где проходит обучение несовершеннолетний</w:t>
      </w:r>
      <w:r w:rsidR="00CC15A8">
        <w:rPr>
          <w:sz w:val="28"/>
          <w:szCs w:val="28"/>
        </w:rPr>
        <w:t>.</w:t>
      </w:r>
    </w:p>
    <w:p w:rsidR="00BE34D3" w:rsidRDefault="000B7850" w:rsidP="004375E6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Оставлен без внимания вопрос о том, как осуществляется законное представительство в отношении несовершеннолетнего, проходящего длительное лечение в населенном пункте, где не проживают его</w:t>
      </w:r>
      <w:r w:rsidR="00BE34D3">
        <w:rPr>
          <w:sz w:val="28"/>
          <w:szCs w:val="28"/>
        </w:rPr>
        <w:t xml:space="preserve"> законны</w:t>
      </w:r>
      <w:r>
        <w:rPr>
          <w:sz w:val="28"/>
          <w:szCs w:val="28"/>
        </w:rPr>
        <w:t>е</w:t>
      </w:r>
      <w:r w:rsidR="00BE34D3">
        <w:rPr>
          <w:sz w:val="28"/>
          <w:szCs w:val="28"/>
        </w:rPr>
        <w:t xml:space="preserve"> представители.</w:t>
      </w:r>
    </w:p>
    <w:p w:rsidR="000A67C7" w:rsidRPr="004375E6" w:rsidRDefault="007E0011" w:rsidP="004375E6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пунктом 2 статьи 120 Семейного кодекса Российской Федерации эмансипация прекращает алиментное обязательство. С</w:t>
      </w:r>
      <w:r w:rsidR="0010670A" w:rsidRPr="00596E14">
        <w:rPr>
          <w:rFonts w:eastAsiaTheme="minorHAnsi"/>
          <w:sz w:val="28"/>
          <w:szCs w:val="28"/>
          <w:lang w:eastAsia="en-US"/>
        </w:rPr>
        <w:t xml:space="preserve">ложно утверждать, что стипендии, </w:t>
      </w:r>
      <w:r>
        <w:rPr>
          <w:rFonts w:eastAsiaTheme="minorHAnsi"/>
          <w:sz w:val="28"/>
          <w:szCs w:val="28"/>
          <w:lang w:eastAsia="en-US"/>
        </w:rPr>
        <w:t>выплачиваемой</w:t>
      </w:r>
      <w:r w:rsidRPr="00596E14">
        <w:rPr>
          <w:rFonts w:eastAsiaTheme="minorHAnsi"/>
          <w:sz w:val="28"/>
          <w:szCs w:val="28"/>
          <w:lang w:eastAsia="en-US"/>
        </w:rPr>
        <w:t xml:space="preserve"> </w:t>
      </w:r>
      <w:r w:rsidR="0010670A" w:rsidRPr="00596E14">
        <w:rPr>
          <w:rFonts w:eastAsiaTheme="minorHAnsi"/>
          <w:sz w:val="28"/>
          <w:szCs w:val="28"/>
          <w:lang w:eastAsia="en-US"/>
        </w:rPr>
        <w:t>учащ</w:t>
      </w:r>
      <w:r>
        <w:rPr>
          <w:rFonts w:eastAsiaTheme="minorHAnsi"/>
          <w:sz w:val="28"/>
          <w:szCs w:val="28"/>
          <w:lang w:eastAsia="en-US"/>
        </w:rPr>
        <w:t>е</w:t>
      </w:r>
      <w:r w:rsidR="0010670A" w:rsidRPr="00596E14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у</w:t>
      </w:r>
      <w:r w:rsidR="0010670A" w:rsidRPr="00596E14">
        <w:rPr>
          <w:rFonts w:eastAsiaTheme="minorHAnsi"/>
          <w:sz w:val="28"/>
          <w:szCs w:val="28"/>
          <w:lang w:eastAsia="en-US"/>
        </w:rPr>
        <w:t>ся или студент</w:t>
      </w:r>
      <w:r>
        <w:rPr>
          <w:rFonts w:eastAsiaTheme="minorHAnsi"/>
          <w:sz w:val="28"/>
          <w:szCs w:val="28"/>
          <w:lang w:eastAsia="en-US"/>
        </w:rPr>
        <w:t>у</w:t>
      </w:r>
      <w:r w:rsidR="0010670A" w:rsidRPr="00596E14">
        <w:rPr>
          <w:rFonts w:eastAsiaTheme="minorHAnsi"/>
          <w:sz w:val="28"/>
          <w:szCs w:val="28"/>
          <w:lang w:eastAsia="en-US"/>
        </w:rPr>
        <w:t>, обучающимся по очной форме обучения, достаточно для его полного материального обеспечения.</w:t>
      </w:r>
      <w:r w:rsidR="00131B12">
        <w:rPr>
          <w:rFonts w:eastAsiaTheme="minorHAnsi"/>
          <w:sz w:val="28"/>
          <w:szCs w:val="28"/>
          <w:lang w:eastAsia="en-US"/>
        </w:rPr>
        <w:t xml:space="preserve"> </w:t>
      </w:r>
      <w:r w:rsidR="00131B12">
        <w:rPr>
          <w:sz w:val="28"/>
          <w:szCs w:val="28"/>
        </w:rPr>
        <w:t xml:space="preserve">Кроме того, </w:t>
      </w:r>
      <w:r w:rsidR="005A3391">
        <w:rPr>
          <w:sz w:val="28"/>
          <w:szCs w:val="28"/>
        </w:rPr>
        <w:t xml:space="preserve">в связи с эмансипацией </w:t>
      </w:r>
      <w:r w:rsidR="00131B12">
        <w:rPr>
          <w:sz w:val="28"/>
          <w:szCs w:val="28"/>
        </w:rPr>
        <w:t>прекратятся также различные социальные выплаты на содержание ребенка (пенсии, пособия)</w:t>
      </w:r>
      <w:r w:rsidR="000A67C7" w:rsidRPr="004375E6">
        <w:rPr>
          <w:color w:val="000000" w:themeColor="text1"/>
          <w:sz w:val="28"/>
          <w:szCs w:val="28"/>
        </w:rPr>
        <w:t>.</w:t>
      </w:r>
      <w:r w:rsidR="00131B12">
        <w:rPr>
          <w:rFonts w:eastAsiaTheme="minorHAnsi"/>
          <w:sz w:val="28"/>
          <w:szCs w:val="28"/>
          <w:lang w:eastAsia="en-US"/>
        </w:rPr>
        <w:t xml:space="preserve"> </w:t>
      </w:r>
      <w:r w:rsidR="000A67C7" w:rsidRPr="004375E6">
        <w:rPr>
          <w:rFonts w:eastAsiaTheme="minorHAnsi"/>
          <w:sz w:val="28"/>
          <w:szCs w:val="28"/>
          <w:lang w:eastAsia="en-US"/>
        </w:rPr>
        <w:t xml:space="preserve">В этом контексте нельзя согласиться с </w:t>
      </w:r>
      <w:r w:rsidR="00131B12">
        <w:rPr>
          <w:rFonts w:eastAsiaTheme="minorHAnsi"/>
          <w:sz w:val="28"/>
          <w:szCs w:val="28"/>
          <w:lang w:eastAsia="en-US"/>
        </w:rPr>
        <w:t>дов</w:t>
      </w:r>
      <w:r w:rsidR="000A67C7" w:rsidRPr="004375E6">
        <w:rPr>
          <w:rFonts w:eastAsiaTheme="minorHAnsi"/>
          <w:sz w:val="28"/>
          <w:szCs w:val="28"/>
          <w:lang w:eastAsia="en-US"/>
        </w:rPr>
        <w:t xml:space="preserve">одами разработчиков Проекта о том, что </w:t>
      </w:r>
      <w:r w:rsidR="000A67C7" w:rsidRPr="004375E6">
        <w:rPr>
          <w:sz w:val="28"/>
          <w:szCs w:val="28"/>
        </w:rPr>
        <w:t>«объявление несовершеннолетнего дееспособным по проектируемому основанию никак не повлияет на правовой статус лица как несовершеннолетнего» (стр. 3 пояснительной записки).</w:t>
      </w:r>
    </w:p>
    <w:p w:rsidR="00131B12" w:rsidRDefault="00131B12" w:rsidP="004375E6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Проекте не учтено, что </w:t>
      </w:r>
      <w:r w:rsidR="00891CAE" w:rsidRPr="004375E6">
        <w:rPr>
          <w:rFonts w:eastAsiaTheme="minorHAnsi"/>
          <w:sz w:val="28"/>
          <w:szCs w:val="28"/>
          <w:lang w:eastAsia="en-US"/>
        </w:rPr>
        <w:t>о</w:t>
      </w:r>
      <w:r w:rsidR="000A67C7" w:rsidRPr="004375E6">
        <w:rPr>
          <w:rFonts w:eastAsiaTheme="minorHAnsi"/>
          <w:sz w:val="28"/>
          <w:szCs w:val="28"/>
          <w:lang w:eastAsia="en-US"/>
        </w:rPr>
        <w:t>тчисление</w:t>
      </w:r>
      <w:r>
        <w:rPr>
          <w:rFonts w:eastAsiaTheme="minorHAnsi"/>
          <w:sz w:val="28"/>
          <w:szCs w:val="28"/>
          <w:lang w:eastAsia="en-US"/>
        </w:rPr>
        <w:t xml:space="preserve"> ребенка</w:t>
      </w:r>
      <w:r w:rsidR="000A67C7" w:rsidRPr="004375E6">
        <w:rPr>
          <w:rFonts w:eastAsiaTheme="minorHAnsi"/>
          <w:sz w:val="28"/>
          <w:szCs w:val="28"/>
          <w:lang w:eastAsia="en-US"/>
        </w:rPr>
        <w:t xml:space="preserve"> из образовательной организации, перевод</w:t>
      </w:r>
      <w:r>
        <w:rPr>
          <w:rFonts w:eastAsiaTheme="minorHAnsi"/>
          <w:sz w:val="28"/>
          <w:szCs w:val="28"/>
          <w:lang w:eastAsia="en-US"/>
        </w:rPr>
        <w:t xml:space="preserve"> его</w:t>
      </w:r>
      <w:r w:rsidR="000A67C7" w:rsidRPr="004375E6">
        <w:rPr>
          <w:rFonts w:eastAsiaTheme="minorHAnsi"/>
          <w:sz w:val="28"/>
          <w:szCs w:val="28"/>
          <w:lang w:eastAsia="en-US"/>
        </w:rPr>
        <w:t xml:space="preserve"> на другую форму обучения, болезнь и другие обстоятельства</w:t>
      </w:r>
      <w:r>
        <w:rPr>
          <w:rFonts w:eastAsiaTheme="minorHAnsi"/>
          <w:sz w:val="28"/>
          <w:szCs w:val="28"/>
          <w:lang w:eastAsia="en-US"/>
        </w:rPr>
        <w:t xml:space="preserve"> могли бы быть</w:t>
      </w:r>
      <w:r w:rsidR="000A67C7" w:rsidRPr="004375E6">
        <w:rPr>
          <w:rFonts w:eastAsiaTheme="minorHAnsi"/>
          <w:sz w:val="28"/>
          <w:szCs w:val="28"/>
          <w:lang w:eastAsia="en-US"/>
        </w:rPr>
        <w:t xml:space="preserve"> основанием для </w:t>
      </w:r>
      <w:r>
        <w:rPr>
          <w:rFonts w:eastAsiaTheme="minorHAnsi"/>
          <w:sz w:val="28"/>
          <w:szCs w:val="28"/>
          <w:lang w:eastAsia="en-US"/>
        </w:rPr>
        <w:t>отмены</w:t>
      </w:r>
      <w:r w:rsidRPr="004375E6">
        <w:rPr>
          <w:rFonts w:eastAsiaTheme="minorHAnsi"/>
          <w:sz w:val="28"/>
          <w:szCs w:val="28"/>
          <w:lang w:eastAsia="en-US"/>
        </w:rPr>
        <w:t xml:space="preserve"> </w:t>
      </w:r>
      <w:r w:rsidR="000A67C7" w:rsidRPr="004375E6">
        <w:rPr>
          <w:rFonts w:eastAsiaTheme="minorHAnsi"/>
          <w:sz w:val="28"/>
          <w:szCs w:val="28"/>
          <w:lang w:eastAsia="en-US"/>
        </w:rPr>
        <w:t>решения суда или органа опеки и попечительства об объявлении лица полностью дееспособным.</w:t>
      </w:r>
    </w:p>
    <w:p w:rsidR="005A3391" w:rsidRDefault="00131B12" w:rsidP="004375E6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Перечисленные недостатки подчеркивают недостаточную глубину проработки проблемы защиты интересов несовершеннолетних, проживающих отдельно от своих законных представителей.</w:t>
      </w:r>
      <w:r w:rsidR="000A67C7" w:rsidRPr="004375E6">
        <w:rPr>
          <w:rFonts w:eastAsiaTheme="minorHAnsi"/>
          <w:sz w:val="28"/>
          <w:szCs w:val="28"/>
          <w:lang w:eastAsia="en-US"/>
        </w:rPr>
        <w:t xml:space="preserve"> </w:t>
      </w:r>
    </w:p>
    <w:p w:rsidR="000A67C7" w:rsidRPr="00395BD3" w:rsidRDefault="00820F79" w:rsidP="004375E6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Положения Проекта создают риск</w:t>
      </w:r>
      <w:r w:rsidR="000A67C7" w:rsidRPr="004375E6">
        <w:rPr>
          <w:rFonts w:eastAsiaTheme="minorHAnsi"/>
          <w:sz w:val="28"/>
          <w:szCs w:val="28"/>
          <w:lang w:eastAsia="en-US"/>
        </w:rPr>
        <w:t xml:space="preserve"> ухудшения правового положения ребенка, утраты им прав, льгот и гарантий, предоставленных ему </w:t>
      </w:r>
      <w:r>
        <w:rPr>
          <w:rFonts w:eastAsiaTheme="minorHAnsi"/>
          <w:sz w:val="28"/>
          <w:szCs w:val="28"/>
          <w:lang w:eastAsia="en-US"/>
        </w:rPr>
        <w:t xml:space="preserve">законодательством </w:t>
      </w:r>
      <w:r w:rsidR="000A67C7" w:rsidRPr="004375E6">
        <w:rPr>
          <w:rFonts w:eastAsiaTheme="minorHAnsi"/>
          <w:sz w:val="28"/>
          <w:szCs w:val="28"/>
          <w:lang w:eastAsia="en-US"/>
        </w:rPr>
        <w:t>в связи с его возрастом.</w:t>
      </w:r>
    </w:p>
    <w:p w:rsidR="00EE4728" w:rsidRPr="003E2196" w:rsidRDefault="00820F79" w:rsidP="004375E6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15EE">
        <w:rPr>
          <w:sz w:val="28"/>
          <w:szCs w:val="28"/>
        </w:rPr>
        <w:t xml:space="preserve">. </w:t>
      </w:r>
      <w:r w:rsidR="00EE4728" w:rsidRPr="003E2196">
        <w:rPr>
          <w:sz w:val="28"/>
          <w:szCs w:val="28"/>
        </w:rPr>
        <w:t>В</w:t>
      </w:r>
      <w:r w:rsidR="00EE4728">
        <w:rPr>
          <w:sz w:val="28"/>
          <w:szCs w:val="28"/>
        </w:rPr>
        <w:t xml:space="preserve"> пояснительной записке</w:t>
      </w:r>
      <w:r w:rsidR="00EE4728" w:rsidRPr="003E2196">
        <w:rPr>
          <w:sz w:val="28"/>
          <w:szCs w:val="28"/>
        </w:rPr>
        <w:t xml:space="preserve"> указывается, что </w:t>
      </w:r>
      <w:r w:rsidR="00EE4728">
        <w:rPr>
          <w:sz w:val="28"/>
          <w:szCs w:val="28"/>
        </w:rPr>
        <w:t>неполная дееспособность несо</w:t>
      </w:r>
      <w:r w:rsidR="00EE4728" w:rsidRPr="003E2196">
        <w:rPr>
          <w:sz w:val="28"/>
          <w:szCs w:val="28"/>
        </w:rPr>
        <w:t xml:space="preserve">вершеннолетних влияет на их гражданские процессуальные отношения и препятствует реализации права на судебную защиту. Данный аргумент </w:t>
      </w:r>
      <w:r w:rsidR="00EE4728">
        <w:rPr>
          <w:sz w:val="28"/>
          <w:szCs w:val="28"/>
        </w:rPr>
        <w:t>разработчиков П</w:t>
      </w:r>
      <w:r w:rsidR="00EE4728" w:rsidRPr="003E2196">
        <w:rPr>
          <w:sz w:val="28"/>
          <w:szCs w:val="28"/>
        </w:rPr>
        <w:t>роекта является несосто</w:t>
      </w:r>
      <w:r w:rsidR="00EE4728">
        <w:rPr>
          <w:sz w:val="28"/>
          <w:szCs w:val="28"/>
        </w:rPr>
        <w:t>ятельным по следующим причинам.</w:t>
      </w:r>
    </w:p>
    <w:p w:rsidR="00EE4728" w:rsidRPr="003E2196" w:rsidRDefault="005A3391" w:rsidP="004375E6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E4728" w:rsidRPr="003E2196">
        <w:rPr>
          <w:sz w:val="28"/>
          <w:szCs w:val="28"/>
        </w:rPr>
        <w:t>ействующее процессуальное законодательство предусматривает дифференцированный подход к защите несовершеннолетним своих прав.</w:t>
      </w:r>
      <w:r w:rsidR="00EE472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E4728">
        <w:rPr>
          <w:sz w:val="28"/>
          <w:szCs w:val="28"/>
        </w:rPr>
        <w:t xml:space="preserve"> соответствии с частью</w:t>
      </w:r>
      <w:r w:rsidR="00EE4728" w:rsidRPr="003E2196">
        <w:rPr>
          <w:sz w:val="28"/>
          <w:szCs w:val="28"/>
        </w:rPr>
        <w:t xml:space="preserve"> 3 статьи 37 </w:t>
      </w:r>
      <w:r w:rsidR="00EE4728">
        <w:rPr>
          <w:sz w:val="28"/>
          <w:szCs w:val="28"/>
        </w:rPr>
        <w:t xml:space="preserve">Гражданского процессуального кодекса Российской Федерации (далее – </w:t>
      </w:r>
      <w:r w:rsidR="00EE4728" w:rsidRPr="003E2196">
        <w:rPr>
          <w:sz w:val="28"/>
          <w:szCs w:val="28"/>
        </w:rPr>
        <w:t>ГПК РФ</w:t>
      </w:r>
      <w:r w:rsidR="00EE4728">
        <w:rPr>
          <w:sz w:val="28"/>
          <w:szCs w:val="28"/>
        </w:rPr>
        <w:t>)</w:t>
      </w:r>
      <w:r w:rsidR="00EE4728" w:rsidRPr="003E2196">
        <w:rPr>
          <w:sz w:val="28"/>
          <w:szCs w:val="28"/>
        </w:rPr>
        <w:t xml:space="preserve"> права, свободы и законные интересы несовершеннолетних в возрасте от четырнадцати до восемнадцати лет защищают в процессе их </w:t>
      </w:r>
      <w:hyperlink r:id="rId6" w:history="1">
        <w:r w:rsidR="00EE4728" w:rsidRPr="00EE4728">
          <w:rPr>
            <w:rStyle w:val="a6"/>
            <w:rFonts w:eastAsiaTheme="majorEastAsia"/>
            <w:color w:val="auto"/>
            <w:sz w:val="28"/>
            <w:szCs w:val="28"/>
            <w:u w:val="none"/>
          </w:rPr>
          <w:t>законные представители</w:t>
        </w:r>
      </w:hyperlink>
      <w:r w:rsidR="00EE4728" w:rsidRPr="003E2196">
        <w:rPr>
          <w:sz w:val="28"/>
          <w:szCs w:val="28"/>
        </w:rPr>
        <w:t xml:space="preserve">. </w:t>
      </w:r>
      <w:r w:rsidR="00EE4728">
        <w:rPr>
          <w:sz w:val="28"/>
          <w:szCs w:val="28"/>
        </w:rPr>
        <w:t>Однако согласно части 4 статьи</w:t>
      </w:r>
      <w:r w:rsidR="00EE4728" w:rsidRPr="003E2196">
        <w:rPr>
          <w:sz w:val="28"/>
          <w:szCs w:val="28"/>
        </w:rPr>
        <w:t xml:space="preserve"> 37 ГПК РФ в случаях, предусмотренных федеральным законом, по делам, возникающим из </w:t>
      </w:r>
      <w:r w:rsidR="00EE4728" w:rsidRPr="008F748E">
        <w:rPr>
          <w:bCs/>
          <w:iCs/>
          <w:sz w:val="28"/>
          <w:szCs w:val="28"/>
        </w:rPr>
        <w:t>гражданских</w:t>
      </w:r>
      <w:r w:rsidR="00EE4728" w:rsidRPr="008F748E">
        <w:rPr>
          <w:sz w:val="28"/>
          <w:szCs w:val="28"/>
        </w:rPr>
        <w:t xml:space="preserve">, семейных, трудовых и иных правоотношений, несовершеннолетние в возрасте от четырнадцати до восемнадцати лет вправе </w:t>
      </w:r>
      <w:r w:rsidR="00EE4728" w:rsidRPr="008F748E">
        <w:rPr>
          <w:bCs/>
          <w:iCs/>
          <w:sz w:val="28"/>
          <w:szCs w:val="28"/>
        </w:rPr>
        <w:t>лично</w:t>
      </w:r>
      <w:r w:rsidR="00EE4728" w:rsidRPr="008F748E">
        <w:rPr>
          <w:sz w:val="28"/>
          <w:szCs w:val="28"/>
        </w:rPr>
        <w:t xml:space="preserve"> защищать в суде свои права, свободы и законные интересы. </w:t>
      </w:r>
    </w:p>
    <w:p w:rsidR="00A164CA" w:rsidRDefault="00820F79" w:rsidP="004375E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5115A6">
        <w:rPr>
          <w:sz w:val="28"/>
          <w:szCs w:val="28"/>
        </w:rPr>
        <w:t xml:space="preserve">. </w:t>
      </w:r>
      <w:r w:rsidR="00A164CA">
        <w:rPr>
          <w:sz w:val="28"/>
          <w:szCs w:val="28"/>
        </w:rPr>
        <w:t>Отдельно следует отметить небрежность, проявленную при изложении диспозиции статьи 27 ГК РФ. Отказ от устоявшихся формулировок, используемых в действующей редакции статьи, выглядит произвольным и ничем не обоснован.</w:t>
      </w:r>
    </w:p>
    <w:p w:rsidR="008B2DAC" w:rsidRDefault="008B2DAC" w:rsidP="004375E6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D23AC2" w:rsidRPr="00866AC0" w:rsidRDefault="00D23AC2" w:rsidP="004375E6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B1373C" w:rsidRDefault="00B1373C" w:rsidP="004375E6">
      <w:pPr>
        <w:spacing w:line="360" w:lineRule="auto"/>
        <w:ind w:firstLine="567"/>
        <w:jc w:val="center"/>
        <w:rPr>
          <w:sz w:val="28"/>
          <w:szCs w:val="28"/>
        </w:rPr>
      </w:pPr>
      <w:proofErr w:type="gramStart"/>
      <w:r w:rsidRPr="00866AC0">
        <w:rPr>
          <w:sz w:val="28"/>
          <w:szCs w:val="28"/>
        </w:rPr>
        <w:t xml:space="preserve">х  </w:t>
      </w:r>
      <w:proofErr w:type="spellStart"/>
      <w:r w:rsidRPr="00866AC0">
        <w:rPr>
          <w:sz w:val="28"/>
          <w:szCs w:val="28"/>
        </w:rPr>
        <w:t>х</w:t>
      </w:r>
      <w:proofErr w:type="spellEnd"/>
      <w:proofErr w:type="gramEnd"/>
      <w:r w:rsidRPr="00866AC0">
        <w:rPr>
          <w:sz w:val="28"/>
          <w:szCs w:val="28"/>
        </w:rPr>
        <w:t xml:space="preserve">  </w:t>
      </w:r>
      <w:proofErr w:type="spellStart"/>
      <w:r w:rsidRPr="00866AC0">
        <w:rPr>
          <w:sz w:val="28"/>
          <w:szCs w:val="28"/>
        </w:rPr>
        <w:t>х</w:t>
      </w:r>
      <w:proofErr w:type="spellEnd"/>
    </w:p>
    <w:p w:rsidR="00B1373C" w:rsidRPr="00866AC0" w:rsidRDefault="00B1373C" w:rsidP="004375E6">
      <w:pPr>
        <w:spacing w:line="360" w:lineRule="auto"/>
        <w:ind w:firstLine="567"/>
        <w:jc w:val="center"/>
        <w:rPr>
          <w:sz w:val="28"/>
          <w:szCs w:val="28"/>
        </w:rPr>
      </w:pPr>
    </w:p>
    <w:p w:rsidR="00B1373C" w:rsidRPr="00866AC0" w:rsidRDefault="00B1373C" w:rsidP="004375E6">
      <w:pPr>
        <w:spacing w:line="360" w:lineRule="auto"/>
        <w:ind w:firstLine="567"/>
        <w:jc w:val="both"/>
        <w:rPr>
          <w:sz w:val="28"/>
          <w:szCs w:val="28"/>
        </w:rPr>
      </w:pPr>
      <w:r w:rsidRPr="00866AC0">
        <w:rPr>
          <w:sz w:val="28"/>
          <w:szCs w:val="28"/>
          <w:u w:val="single"/>
        </w:rPr>
        <w:t>Вывод:</w:t>
      </w:r>
      <w:r w:rsidRPr="00866AC0">
        <w:rPr>
          <w:sz w:val="28"/>
          <w:szCs w:val="28"/>
        </w:rPr>
        <w:t xml:space="preserve"> проект федерального закона </w:t>
      </w:r>
      <w:r w:rsidRPr="00B1373C">
        <w:rPr>
          <w:color w:val="000000" w:themeColor="text1"/>
          <w:sz w:val="28"/>
          <w:szCs w:val="28"/>
        </w:rPr>
        <w:t>«О внесении изменения в статью 27 Гражданского кодекса Российской Федерации»</w:t>
      </w:r>
      <w:r w:rsidRPr="00866AC0">
        <w:rPr>
          <w:sz w:val="28"/>
          <w:szCs w:val="28"/>
        </w:rPr>
        <w:t xml:space="preserve"> не может быть поддержан.</w:t>
      </w:r>
    </w:p>
    <w:p w:rsidR="00B1373C" w:rsidRPr="00866AC0" w:rsidRDefault="00B1373C" w:rsidP="00EE4728">
      <w:pPr>
        <w:ind w:firstLine="567"/>
        <w:rPr>
          <w:sz w:val="28"/>
          <w:szCs w:val="28"/>
        </w:rPr>
      </w:pPr>
    </w:p>
    <w:p w:rsidR="00B1373C" w:rsidRPr="00866AC0" w:rsidRDefault="00B1373C" w:rsidP="00EE4728">
      <w:pPr>
        <w:widowControl w:val="0"/>
        <w:suppressAutoHyphens/>
        <w:autoSpaceDE w:val="0"/>
        <w:autoSpaceDN w:val="0"/>
        <w:adjustRightInd w:val="0"/>
        <w:ind w:firstLine="567"/>
        <w:jc w:val="center"/>
        <w:outlineLvl w:val="3"/>
        <w:rPr>
          <w:i/>
          <w:sz w:val="28"/>
          <w:szCs w:val="28"/>
        </w:rPr>
      </w:pPr>
    </w:p>
    <w:p w:rsidR="00D516D8" w:rsidRDefault="00D516D8" w:rsidP="00D516D8">
      <w:pPr>
        <w:spacing w:line="360" w:lineRule="auto"/>
        <w:ind w:left="284" w:firstLine="567"/>
        <w:jc w:val="both"/>
        <w:rPr>
          <w:sz w:val="28"/>
          <w:szCs w:val="28"/>
        </w:rPr>
      </w:pPr>
    </w:p>
    <w:p w:rsidR="00D516D8" w:rsidRDefault="00D516D8" w:rsidP="00D516D8">
      <w:pPr>
        <w:spacing w:line="360" w:lineRule="auto"/>
        <w:ind w:left="284" w:firstLine="567"/>
        <w:jc w:val="both"/>
        <w:rPr>
          <w:sz w:val="28"/>
          <w:szCs w:val="28"/>
        </w:rPr>
      </w:pPr>
    </w:p>
    <w:tbl>
      <w:tblPr>
        <w:tblW w:w="15632" w:type="dxa"/>
        <w:tblLook w:val="04A0" w:firstRow="1" w:lastRow="0" w:firstColumn="1" w:lastColumn="0" w:noHBand="0" w:noVBand="1"/>
      </w:tblPr>
      <w:tblGrid>
        <w:gridCol w:w="9892"/>
        <w:gridCol w:w="2272"/>
        <w:gridCol w:w="3468"/>
      </w:tblGrid>
      <w:tr w:rsidR="00D516D8" w:rsidRPr="00894B79" w:rsidTr="00A721D0">
        <w:tc>
          <w:tcPr>
            <w:tcW w:w="4782" w:type="dxa"/>
          </w:tcPr>
          <w:tbl>
            <w:tblPr>
              <w:tblW w:w="9676" w:type="dxa"/>
              <w:tblLook w:val="04A0" w:firstRow="1" w:lastRow="0" w:firstColumn="1" w:lastColumn="0" w:noHBand="0" w:noVBand="1"/>
            </w:tblPr>
            <w:tblGrid>
              <w:gridCol w:w="4782"/>
              <w:gridCol w:w="4894"/>
            </w:tblGrid>
            <w:tr w:rsidR="00D516D8" w:rsidRPr="00894B79" w:rsidTr="00A721D0">
              <w:tc>
                <w:tcPr>
                  <w:tcW w:w="4782" w:type="dxa"/>
                  <w:hideMark/>
                </w:tcPr>
                <w:p w:rsidR="00D516D8" w:rsidRPr="00894B79" w:rsidRDefault="00D516D8" w:rsidP="00A721D0">
                  <w:pPr>
                    <w:suppressAutoHyphens/>
                    <w:spacing w:line="360" w:lineRule="auto"/>
                    <w:ind w:left="31" w:right="-7" w:firstLine="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894B79">
                    <w:rPr>
                      <w:sz w:val="28"/>
                      <w:szCs w:val="28"/>
                      <w:lang w:eastAsia="en-US"/>
                    </w:rPr>
                    <w:t>Председатель Совета</w:t>
                  </w:r>
                </w:p>
              </w:tc>
              <w:tc>
                <w:tcPr>
                  <w:tcW w:w="4894" w:type="dxa"/>
                  <w:hideMark/>
                </w:tcPr>
                <w:p w:rsidR="00D516D8" w:rsidRPr="00894B79" w:rsidRDefault="00D516D8" w:rsidP="00A721D0">
                  <w:pPr>
                    <w:suppressAutoHyphens/>
                    <w:spacing w:line="360" w:lineRule="auto"/>
                    <w:ind w:left="31" w:right="-7" w:firstLine="7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 w:rsidRPr="00894B79">
                    <w:rPr>
                      <w:sz w:val="28"/>
                      <w:szCs w:val="28"/>
                      <w:lang w:eastAsia="en-US"/>
                    </w:rPr>
                    <w:t xml:space="preserve">  П.В. Крашенинников</w:t>
                  </w:r>
                </w:p>
              </w:tc>
            </w:tr>
          </w:tbl>
          <w:p w:rsidR="00D516D8" w:rsidRPr="00894B79" w:rsidRDefault="00D516D8" w:rsidP="00A721D0">
            <w:pPr>
              <w:suppressAutoHyphens/>
              <w:spacing w:line="360" w:lineRule="auto"/>
              <w:ind w:left="31" w:right="-7" w:firstLine="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25" w:type="dxa"/>
          </w:tcPr>
          <w:p w:rsidR="00D516D8" w:rsidRPr="00894B79" w:rsidRDefault="00D516D8" w:rsidP="00A721D0">
            <w:pPr>
              <w:suppressAutoHyphens/>
              <w:spacing w:line="360" w:lineRule="auto"/>
              <w:ind w:right="-7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25" w:type="dxa"/>
            <w:hideMark/>
          </w:tcPr>
          <w:p w:rsidR="00D516D8" w:rsidRPr="00894B79" w:rsidRDefault="00D516D8" w:rsidP="00A721D0">
            <w:pPr>
              <w:suppressAutoHyphens/>
              <w:spacing w:line="360" w:lineRule="auto"/>
              <w:ind w:left="31" w:right="-7" w:firstLine="7"/>
              <w:jc w:val="right"/>
              <w:rPr>
                <w:sz w:val="28"/>
                <w:szCs w:val="28"/>
                <w:lang w:eastAsia="en-US"/>
              </w:rPr>
            </w:pPr>
            <w:r w:rsidRPr="00894B79">
              <w:rPr>
                <w:sz w:val="28"/>
                <w:szCs w:val="28"/>
                <w:lang w:eastAsia="en-US"/>
              </w:rPr>
              <w:t>П.В. Крашенинников</w:t>
            </w:r>
          </w:p>
        </w:tc>
      </w:tr>
    </w:tbl>
    <w:p w:rsidR="00D516D8" w:rsidRPr="00894B79" w:rsidRDefault="00D516D8" w:rsidP="00D516D8">
      <w:pPr>
        <w:spacing w:line="360" w:lineRule="auto"/>
        <w:ind w:right="-183" w:firstLine="567"/>
        <w:jc w:val="both"/>
        <w:rPr>
          <w:rFonts w:eastAsia="Calibri"/>
          <w:sz w:val="28"/>
          <w:szCs w:val="28"/>
          <w:lang w:eastAsia="en-US"/>
        </w:rPr>
      </w:pPr>
    </w:p>
    <w:p w:rsidR="00D516D8" w:rsidRPr="00866AC0" w:rsidRDefault="00D516D8" w:rsidP="00D516D8">
      <w:pPr>
        <w:spacing w:line="360" w:lineRule="auto"/>
        <w:ind w:left="284" w:firstLine="567"/>
        <w:jc w:val="both"/>
        <w:rPr>
          <w:sz w:val="28"/>
          <w:szCs w:val="28"/>
        </w:rPr>
      </w:pPr>
    </w:p>
    <w:p w:rsidR="00D516D8" w:rsidRPr="00866AC0" w:rsidRDefault="00D516D8" w:rsidP="00D516D8">
      <w:pPr>
        <w:ind w:left="284" w:firstLine="567"/>
        <w:rPr>
          <w:sz w:val="28"/>
          <w:szCs w:val="28"/>
        </w:rPr>
      </w:pPr>
    </w:p>
    <w:p w:rsidR="00B1373C" w:rsidRPr="00866AC0" w:rsidRDefault="00B1373C" w:rsidP="00EE4728">
      <w:pPr>
        <w:suppressAutoHyphens/>
        <w:ind w:firstLine="567"/>
        <w:jc w:val="right"/>
        <w:rPr>
          <w:sz w:val="28"/>
          <w:szCs w:val="28"/>
        </w:rPr>
      </w:pPr>
    </w:p>
    <w:sectPr w:rsidR="00B1373C" w:rsidRPr="00866AC0" w:rsidSect="00477570"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CFD" w:rsidRDefault="008B3CFD">
      <w:r>
        <w:separator/>
      </w:r>
    </w:p>
  </w:endnote>
  <w:endnote w:type="continuationSeparator" w:id="0">
    <w:p w:rsidR="008B3CFD" w:rsidRDefault="008B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CFD" w:rsidRDefault="008B3CFD">
      <w:r>
        <w:separator/>
      </w:r>
    </w:p>
  </w:footnote>
  <w:footnote w:type="continuationSeparator" w:id="0">
    <w:p w:rsidR="008B3CFD" w:rsidRDefault="008B3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4039943"/>
      <w:docPartObj>
        <w:docPartGallery w:val="Page Numbers (Top of Page)"/>
        <w:docPartUnique/>
      </w:docPartObj>
    </w:sdtPr>
    <w:sdtEndPr/>
    <w:sdtContent>
      <w:p w:rsidR="009D1067" w:rsidRPr="001958B7" w:rsidRDefault="00011FDC">
        <w:pPr>
          <w:pStyle w:val="a3"/>
          <w:jc w:val="center"/>
        </w:pPr>
        <w:r w:rsidRPr="001958B7">
          <w:fldChar w:fldCharType="begin"/>
        </w:r>
        <w:r w:rsidRPr="001958B7">
          <w:instrText>PAGE   \* MERGEFORMAT</w:instrText>
        </w:r>
        <w:r w:rsidRPr="001958B7">
          <w:fldChar w:fldCharType="separate"/>
        </w:r>
        <w:r w:rsidR="001300DB">
          <w:rPr>
            <w:noProof/>
          </w:rPr>
          <w:t>4</w:t>
        </w:r>
        <w:r w:rsidRPr="001958B7">
          <w:fldChar w:fldCharType="end"/>
        </w:r>
      </w:p>
    </w:sdtContent>
  </w:sdt>
  <w:p w:rsidR="009D1067" w:rsidRPr="001958B7" w:rsidRDefault="008B3C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3C"/>
    <w:rsid w:val="00011FDC"/>
    <w:rsid w:val="00016AAE"/>
    <w:rsid w:val="00032DB0"/>
    <w:rsid w:val="00045BFA"/>
    <w:rsid w:val="000A67C7"/>
    <w:rsid w:val="000B7850"/>
    <w:rsid w:val="0010670A"/>
    <w:rsid w:val="001300DB"/>
    <w:rsid w:val="00131B12"/>
    <w:rsid w:val="001B0151"/>
    <w:rsid w:val="00224248"/>
    <w:rsid w:val="00286EEF"/>
    <w:rsid w:val="002A0A82"/>
    <w:rsid w:val="002A261A"/>
    <w:rsid w:val="00306867"/>
    <w:rsid w:val="003134DC"/>
    <w:rsid w:val="003415EE"/>
    <w:rsid w:val="00395BD3"/>
    <w:rsid w:val="003A60C7"/>
    <w:rsid w:val="003A7991"/>
    <w:rsid w:val="004375E6"/>
    <w:rsid w:val="004B572A"/>
    <w:rsid w:val="004E3E03"/>
    <w:rsid w:val="004F22E9"/>
    <w:rsid w:val="005115A6"/>
    <w:rsid w:val="00596E14"/>
    <w:rsid w:val="005A3391"/>
    <w:rsid w:val="0069095E"/>
    <w:rsid w:val="0071380E"/>
    <w:rsid w:val="00747D88"/>
    <w:rsid w:val="00780F7D"/>
    <w:rsid w:val="007E0011"/>
    <w:rsid w:val="007E0EB4"/>
    <w:rsid w:val="007E5187"/>
    <w:rsid w:val="00820F79"/>
    <w:rsid w:val="00891CAE"/>
    <w:rsid w:val="008B2DAC"/>
    <w:rsid w:val="008B3CFD"/>
    <w:rsid w:val="008C1DC7"/>
    <w:rsid w:val="008F7F08"/>
    <w:rsid w:val="00911090"/>
    <w:rsid w:val="009F3BDF"/>
    <w:rsid w:val="009F6C21"/>
    <w:rsid w:val="00A164CA"/>
    <w:rsid w:val="00A428D2"/>
    <w:rsid w:val="00B1373C"/>
    <w:rsid w:val="00B31808"/>
    <w:rsid w:val="00BA6AD8"/>
    <w:rsid w:val="00BE34D3"/>
    <w:rsid w:val="00C047AC"/>
    <w:rsid w:val="00C562F7"/>
    <w:rsid w:val="00C72F3A"/>
    <w:rsid w:val="00CB5781"/>
    <w:rsid w:val="00CC15A8"/>
    <w:rsid w:val="00D21568"/>
    <w:rsid w:val="00D23AC2"/>
    <w:rsid w:val="00D334ED"/>
    <w:rsid w:val="00D516D8"/>
    <w:rsid w:val="00D77C1E"/>
    <w:rsid w:val="00DC7012"/>
    <w:rsid w:val="00DD2EEE"/>
    <w:rsid w:val="00EE4728"/>
    <w:rsid w:val="00F15D61"/>
    <w:rsid w:val="00F7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05937-0BD7-4A02-94D1-86A3D367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7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3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F3BD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E472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34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34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99661&amp;dst=100004&amp;field=134&amp;date=09.07.20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Тригубович</dc:creator>
  <cp:keywords/>
  <dc:description/>
  <cp:lastModifiedBy>Наталья Новикова</cp:lastModifiedBy>
  <cp:revision>3</cp:revision>
  <dcterms:created xsi:type="dcterms:W3CDTF">2024-07-31T09:47:00Z</dcterms:created>
  <dcterms:modified xsi:type="dcterms:W3CDTF">2024-07-31T10:16:00Z</dcterms:modified>
</cp:coreProperties>
</file>